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960E" w14:textId="77777777" w:rsidR="0083111D" w:rsidRDefault="0083111D" w:rsidP="00570EE0">
      <w:pPr>
        <w:tabs>
          <w:tab w:val="left" w:pos="156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2EF74DB6" w14:textId="77777777" w:rsidR="0083111D" w:rsidRDefault="0083111D" w:rsidP="00570EE0">
      <w:pPr>
        <w:tabs>
          <w:tab w:val="left" w:pos="156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3B1D0B02" w14:textId="59190911" w:rsidR="00570EE0" w:rsidRPr="00570EE0" w:rsidRDefault="00570EE0" w:rsidP="00570EE0">
      <w:pPr>
        <w:tabs>
          <w:tab w:val="left" w:pos="156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570EE0">
        <w:rPr>
          <w:b/>
          <w:bCs/>
          <w:sz w:val="24"/>
          <w:szCs w:val="24"/>
        </w:rPr>
        <w:t>ANÁLISE E JULGAMENTO DE RECURSO ADMINISTRATIVO</w:t>
      </w:r>
    </w:p>
    <w:p w14:paraId="64945665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76D1F21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05026CD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570EE0">
        <w:rPr>
          <w:b/>
          <w:bCs/>
          <w:sz w:val="24"/>
          <w:szCs w:val="24"/>
        </w:rPr>
        <w:t xml:space="preserve"> PROCESSO Nº 001/2026 - SAAET </w:t>
      </w:r>
    </w:p>
    <w:p w14:paraId="7DED834D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570EE0">
        <w:rPr>
          <w:b/>
          <w:bCs/>
          <w:sz w:val="24"/>
          <w:szCs w:val="24"/>
        </w:rPr>
        <w:t xml:space="preserve">PREGÃO ELETRÔNICO Nº 001/2026 - SAAET </w:t>
      </w:r>
    </w:p>
    <w:p w14:paraId="585F13EE" w14:textId="553368BD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SISTEMA DE </w:t>
      </w:r>
      <w:r w:rsidRPr="00570EE0">
        <w:rPr>
          <w:b/>
          <w:bCs/>
          <w:sz w:val="24"/>
          <w:szCs w:val="24"/>
        </w:rPr>
        <w:t xml:space="preserve">REGISTRO DE PREÇOS </w:t>
      </w:r>
    </w:p>
    <w:p w14:paraId="08F50AD4" w14:textId="790FA931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OBJETO: A</w:t>
      </w:r>
      <w:r w:rsidRPr="00570EE0">
        <w:rPr>
          <w:b/>
          <w:bCs/>
          <w:sz w:val="24"/>
          <w:szCs w:val="24"/>
        </w:rPr>
        <w:t>quisição de materiais de construção, ferramentas, tubos e conexões galvanizados e afins para atender aos departamentos de água e esgoto do SAAET e para a manutenção das instalações do SAAET e da ETA</w:t>
      </w:r>
    </w:p>
    <w:p w14:paraId="72999BEC" w14:textId="087C053A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RECORRENTE: </w:t>
      </w:r>
      <w:r w:rsidRPr="00570EE0">
        <w:rPr>
          <w:b/>
          <w:bCs/>
          <w:sz w:val="24"/>
          <w:szCs w:val="24"/>
        </w:rPr>
        <w:t>JULIUS TOOLS MÁQUINAS FERRAMENTAS E SUPRIMENTOS INDUSTRIAIS LTDA</w:t>
      </w:r>
    </w:p>
    <w:p w14:paraId="1157DEEA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0021967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9FFA586" w14:textId="18E13313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70EE0">
        <w:rPr>
          <w:b/>
          <w:bCs/>
          <w:sz w:val="24"/>
          <w:szCs w:val="24"/>
        </w:rPr>
        <w:t>I – RELATÓRIO</w:t>
      </w:r>
    </w:p>
    <w:p w14:paraId="1B904D68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F7DB1AA" w14:textId="09F650A6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Cuida-se de recurso administrativo interposto por </w:t>
      </w:r>
      <w:r w:rsidRPr="00570EE0">
        <w:rPr>
          <w:b/>
          <w:bCs/>
          <w:sz w:val="24"/>
          <w:szCs w:val="24"/>
        </w:rPr>
        <w:t>JULIUS TOOLS MÁQUINAS FERRAMENTAS E SUPRIMENTOS INDUSTRIAIS LTDA.</w:t>
      </w:r>
      <w:r w:rsidRPr="00570EE0">
        <w:rPr>
          <w:sz w:val="24"/>
          <w:szCs w:val="24"/>
        </w:rPr>
        <w:t>, pessoa jurídica inscrita no CNPJ sob o n.º 34.724.905/0001-26, contra o ato que determinou sua desclassificação/inabilitação no âmbito do Pregão Eletrônico n.º 001/2026, instaurado pelo Serviço Autônomo de Água e Esgoto de Tocantins – SAAET. A sessão pública do certame ocorreu em março de 2026, conforme edital e ata parcial acostados aos autos.</w:t>
      </w:r>
    </w:p>
    <w:p w14:paraId="04159224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570EE0">
        <w:rPr>
          <w:sz w:val="24"/>
          <w:szCs w:val="24"/>
        </w:rPr>
        <w:t>A recorrente sustenta, em síntese, que a exigência relativa ao alvará de localização e funcionamento não poderia conduzir à sua exclusão, porquanto teria apresentado documento apto a demonstrar situação de dispensa, invocando, para tanto, o entendimento do Tribunal de Contas da União sobre saneamento de falhas formais e juntada posterior de documentos comprobatórios de situação preexistente. O recurso juntado pela empresa menciona expressamente o Acórdão n.º 1.211/2021-Plenário do TCU como fundamento para a pretensão recursal.</w:t>
      </w:r>
    </w:p>
    <w:p w14:paraId="6526B7B3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A941837" w14:textId="19623DD3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Consta dos autos, ainda, documento oriundo do Portal de Serviços da JUCEMG/município de Contagem, datado de 23/08/2021, no qual se lê “ALVARÁ DE LOCALIZAÇÃO E FUNCIONAMENTO DE CONTAGEM”, com indicação de que o licenciamento estaria “concluído” e de que o alvará estaria “dispensado”, acompanhando a observação de que a dispensa ocorreria “conforme Decreto 1217/2019 artigo 147, cadastro atualizado, através de processamento eletrônico via cadastro sincronizado REDESIM/JUCEMG, para fins tributáveis”.</w:t>
      </w:r>
    </w:p>
    <w:p w14:paraId="068DF226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E71C51B" w14:textId="0E8F3E5A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Também integra o processo o comprovante de inscrição e situação cadastral da recorrente perante o CNPJ, emitido em 25/03/2026, do qual se extrai que a atividade econômica principal da empresa é “comércio varejista de ferragens e ferramentas”, CNAE 47.44-0-01, figurando, entre as atividades secundárias, fabricação de tubos e acessórios de material plástico para uso na construção, serviços de usinagem, tornearia e solda, comércio varejista de lubrificantes, comércio varejista de material elétrico, comércio varejista de materiais de construção em geral, comércio varejista de saneantes domissanitários, dentre outras.</w:t>
      </w:r>
    </w:p>
    <w:p w14:paraId="4670791D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DA36F74" w14:textId="63E33A2E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É o necessário relatório.</w:t>
      </w:r>
    </w:p>
    <w:p w14:paraId="56EA29CE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B7A141C" w14:textId="77777777" w:rsidR="0083111D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1F79C64" w14:textId="55624A2A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570EE0">
        <w:rPr>
          <w:b/>
          <w:bCs/>
          <w:sz w:val="24"/>
          <w:szCs w:val="24"/>
        </w:rPr>
        <w:t>II – FUNDAMENTAÇÃO</w:t>
      </w:r>
    </w:p>
    <w:p w14:paraId="4715828C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3378DB4" w14:textId="1F3E0722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A controvérsia administrativa devolvida à apreciação deste pregoeiro não reside, propriamente, na licitude abstrata da exigência editalícia de apresentação de alvará de localização e funcionamento, mas na suficiência jurídica do documento produzido pela recorrente para comprovar, na data da sessão, a alegada dispensa desse ato público de liberação. A distinção é relevante, porque o exame recursal não pode ser deslocado para o plano teórico da conveniência da exigência se, objetivamente, o edital a previu de forma expressa e a licitante, podendo insurgir-se tempestivamente contra a cláusula, permaneceu inerte, aderindo às regras da disputa e somente manifestando irresignação após a prática do ato que lhe foi desfavorável.</w:t>
      </w:r>
    </w:p>
    <w:p w14:paraId="232D7776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28E7857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O edital disciplina as condições de participação e habilitação do certame, tendo sido publicado com antecedência regular, sem que conste dos autos qualquer impugnação da empresa ora recorrente quanto à exigência documental questionada. O instrumento convocatório, como se sabe, não constitui mera peça informativa, mas ato administrativo normativo de regência interna da licitação, vinculando Administração e licitantes em homenagem aos princípios da vinculação ao instrumento convocatório, da isonomia, da segurança jurídica e do julgamento objetivo.</w:t>
      </w:r>
    </w:p>
    <w:p w14:paraId="33A2F67A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570EE0">
        <w:rPr>
          <w:sz w:val="24"/>
          <w:szCs w:val="24"/>
        </w:rPr>
        <w:t xml:space="preserve"> </w:t>
      </w:r>
    </w:p>
    <w:p w14:paraId="35442961" w14:textId="59C84B9F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É precisamente nessa linha que a doutrina de Marçal </w:t>
      </w:r>
      <w:proofErr w:type="spellStart"/>
      <w:r w:rsidRPr="00570EE0">
        <w:rPr>
          <w:sz w:val="24"/>
          <w:szCs w:val="24"/>
        </w:rPr>
        <w:t>Justen</w:t>
      </w:r>
      <w:proofErr w:type="spellEnd"/>
      <w:r w:rsidRPr="00570EE0">
        <w:rPr>
          <w:sz w:val="24"/>
          <w:szCs w:val="24"/>
        </w:rPr>
        <w:t xml:space="preserve"> Filho assinala que</w:t>
      </w:r>
      <w:r>
        <w:rPr>
          <w:sz w:val="24"/>
          <w:szCs w:val="24"/>
        </w:rPr>
        <w:t xml:space="preserve"> </w:t>
      </w:r>
      <w:r w:rsidRPr="00570EE0">
        <w:rPr>
          <w:i/>
          <w:iCs/>
          <w:sz w:val="24"/>
          <w:szCs w:val="24"/>
        </w:rPr>
        <w:t>“o edital é o instrumento pelo qual a Administração fixa de modo vinculante as condições de participação e de desenvolvimento da licitação”</w:t>
      </w:r>
      <w:r w:rsidRPr="00570EE0">
        <w:rPr>
          <w:sz w:val="24"/>
          <w:szCs w:val="24"/>
        </w:rPr>
        <w:t xml:space="preserve">, de sorte que a sua inobservância compromete a própria integridade do procedimento. </w:t>
      </w:r>
      <w:r>
        <w:rPr>
          <w:sz w:val="24"/>
          <w:szCs w:val="24"/>
        </w:rPr>
        <w:t>(</w:t>
      </w:r>
      <w:r w:rsidRPr="00570EE0">
        <w:rPr>
          <w:sz w:val="24"/>
          <w:szCs w:val="24"/>
        </w:rPr>
        <w:t xml:space="preserve">JUSTEN FILHO, Marçal. </w:t>
      </w:r>
      <w:r w:rsidRPr="00570EE0">
        <w:rPr>
          <w:i/>
          <w:iCs/>
          <w:sz w:val="24"/>
          <w:szCs w:val="24"/>
        </w:rPr>
        <w:t>Comentários à Lei de Licitações e Contratos Administrativos</w:t>
      </w:r>
      <w:r w:rsidRPr="00570EE0">
        <w:rPr>
          <w:sz w:val="24"/>
          <w:szCs w:val="24"/>
        </w:rPr>
        <w:t>. 2. ed. São Paulo: Thomson Reuters Brasil, 2022</w:t>
      </w:r>
      <w:r>
        <w:rPr>
          <w:sz w:val="24"/>
          <w:szCs w:val="24"/>
        </w:rPr>
        <w:t>)</w:t>
      </w:r>
    </w:p>
    <w:p w14:paraId="3CEC9F2B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2F432CD" w14:textId="1F23FD73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A ausência de impugnação tempestiva ao edital produz, em sede administrativa, efeito preclusivo. Não se trata de preclusão em sentido meramente formalista, mas de decorrência lógica da boa-fé objetiva procedimental. O licitante que, tendo plena ciência da regra do jogo, dela participa sem oposição, não pode, supervenientemente, pretender afastá-la apenas porque a incidência concreta do comando editalício lhe foi desfavorável. O Tribunal de Contas da União, em orientação reiterada, já assentou que a falta de impugnação tempestiva obsta a insurgência posterior contra cláusulas editalícias, precisamente para resguardar a estabilidade do certame e impedir comportamento contraditório do particular. Nessa linha, o Acórdão n.º 1.793/2011-Plenário consolidou a compreensão segundo a qual a ausência de irresignação oportuna impede a rediscussão posterior de regra editalícia aceita pelo participante. </w:t>
      </w:r>
    </w:p>
    <w:p w14:paraId="28970A41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D4D9DAB" w14:textId="45711AF5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Esse primeiro fundamento, por si só, já enfraquece a pretensão recursal. Todavia, ainda que se supere a questão preclusiva para exame exauriente do mérito, a conclusão permanece desfavorável à recorrente. Isso porque o documento apresentado </w:t>
      </w:r>
      <w:r w:rsidRPr="00570EE0">
        <w:rPr>
          <w:sz w:val="24"/>
          <w:szCs w:val="24"/>
        </w:rPr>
        <w:lastRenderedPageBreak/>
        <w:t xml:space="preserve">não comprova, com a robustez jurídica exigível, a situação de regularidade ou de dispensa vigente do alvará de localização e funcionamento na data do certame, realizada em 2026. O documento acostado pela empresa é datado de 23/08/2021 e, a despeito de mencionar situação de “alvará dispensado”, o faz em contexto condicionado </w:t>
      </w:r>
      <w:bookmarkStart w:id="0" w:name="_GoBack"/>
      <w:bookmarkEnd w:id="0"/>
      <w:r w:rsidRPr="00570EE0">
        <w:rPr>
          <w:sz w:val="24"/>
          <w:szCs w:val="24"/>
        </w:rPr>
        <w:t>a cadastro atualizado e a processamento eletrônico via cadastro sincronizado REDESIM/JUCEMG, com expressa referência a fins tributários.</w:t>
      </w:r>
    </w:p>
    <w:p w14:paraId="0B53CB50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A66FA0" w14:textId="53B4D4DF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Em matéria de habilitação, não basta a exibição de documento que um dia tenha espelhado situação favorável ao interessado. Exige-se aptidão probatória contemporânea ou, ao menos, objetivamente demonstrativa de que a situação jurídica permanece íntegra e válida na data da sessão. O ônus de demonstrar o atendimento aos requisitos habilitatórios recai integralmente sobre o licitante. Tal conclusão decorre da própria estrutura da Lei n.º 14.133/2021, cujo art. 62 define a habilitação como fase destinada à verificação das condições do licitante para cumprir as obrigações decorrentes da futura contratação, e do art. 64, que, embora admita diligências para saneamento e esclarecimento, não autoriza a substituição da prova inexistente nem a criação superveniente de condição material não demonstrada no momento oportuno. </w:t>
      </w:r>
    </w:p>
    <w:p w14:paraId="42A3360D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D154A68" w14:textId="0A5D6E76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A jurisprudência do TCU, corretamente invocada pela recorrente, não ampara a tese por ela defendida nas circunstâncias concretas do processo. O Acórdão n.º 1.211/2021-Plenário efetivamente reconhece a possibilidade de saneamento de falhas formais e de juntada posterior de documento, desde que esse documento seja apto a comprovar situação preexistente à sessão, vedada a constituição posterior de requisito que deveria estar atendido desde antes. A </w:t>
      </w:r>
      <w:proofErr w:type="spellStart"/>
      <w:r w:rsidRPr="00570EE0">
        <w:rPr>
          <w:i/>
          <w:iCs/>
          <w:sz w:val="24"/>
          <w:szCs w:val="24"/>
        </w:rPr>
        <w:t>ratio</w:t>
      </w:r>
      <w:proofErr w:type="spellEnd"/>
      <w:r w:rsidRPr="00570EE0">
        <w:rPr>
          <w:i/>
          <w:iCs/>
          <w:sz w:val="24"/>
          <w:szCs w:val="24"/>
        </w:rPr>
        <w:t xml:space="preserve"> </w:t>
      </w:r>
      <w:proofErr w:type="spellStart"/>
      <w:r w:rsidRPr="00570EE0">
        <w:rPr>
          <w:i/>
          <w:iCs/>
          <w:sz w:val="24"/>
          <w:szCs w:val="24"/>
        </w:rPr>
        <w:t>decidendi</w:t>
      </w:r>
      <w:proofErr w:type="spellEnd"/>
      <w:r w:rsidRPr="00570EE0">
        <w:rPr>
          <w:sz w:val="24"/>
          <w:szCs w:val="24"/>
        </w:rPr>
        <w:t xml:space="preserve"> do precedente não é a liberalização irrestrita da habilitação, mas a consagração do formalismo moderado em limites compatíveis com a isonomia e com a segurança do procedimento. Em outras palavras, o TCU não autorizou que a Administração releve a ausência de prova substancial do requisito; apenas assentou que o formalismo não deve degenerar em ritualismo cego quando já estiver comprovadamente presente, em substância, a condição exigida.</w:t>
      </w:r>
    </w:p>
    <w:p w14:paraId="3EA3A0A4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4D4463A" w14:textId="26567DFC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No caso em exame, o vício não é de simples forma, mas de insuficiência material da comprovação. O documento apresentado pela empresa não demonstra, de modo inequívoco, que, em março de 2026, a atividade empresarial por ela exercida permanecia dispensada de alvará de localização e funcionamento perante o município competente. A defasagem temporal de mais de quatro anos entre a emissão do documento e a data da sessão impede que se lhe atribua aptidão para comprovar regularidade atual, sobretudo porque o próprio teor do documento condiciona a dispensa à atualização cadastral. Sem prova específica de manutenção dessa condição no tempo, a peça não passa de indício pretérito, juridicamente incapaz de afastar a exigência editalícia.</w:t>
      </w:r>
    </w:p>
    <w:p w14:paraId="335D5F69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E972618" w14:textId="1640F250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Não se trata, portanto, de rigor excessivo do pregoeiro, mas de observância do regime jurídico da habilitação. A doutrina de Maria Sylvia Zanella Di Pietro esclarece que o princípio do formalismo moderado não autoriza a Administração a desprezar requisitos essenciais, mas apenas a interpretar as exigências procedimentais de maneira compatível com a finalidade do ato e com a preservação da competição. É </w:t>
      </w:r>
      <w:r w:rsidRPr="00570EE0">
        <w:rPr>
          <w:sz w:val="24"/>
          <w:szCs w:val="24"/>
        </w:rPr>
        <w:lastRenderedPageBreak/>
        <w:t xml:space="preserve">dizer: o formalismo moderado não se confunde com dispensa de prova </w:t>
      </w:r>
      <w:r>
        <w:rPr>
          <w:sz w:val="24"/>
          <w:szCs w:val="24"/>
        </w:rPr>
        <w:t>(</w:t>
      </w:r>
      <w:r w:rsidRPr="00570EE0">
        <w:rPr>
          <w:sz w:val="24"/>
          <w:szCs w:val="24"/>
        </w:rPr>
        <w:t xml:space="preserve">DI PIETRO, Maria Sylvia Zanella. </w:t>
      </w:r>
      <w:r w:rsidRPr="00570EE0">
        <w:rPr>
          <w:i/>
          <w:iCs/>
          <w:sz w:val="24"/>
          <w:szCs w:val="24"/>
        </w:rPr>
        <w:t>Direito Administrativo</w:t>
      </w:r>
      <w:r w:rsidRPr="00570EE0">
        <w:rPr>
          <w:sz w:val="24"/>
          <w:szCs w:val="24"/>
        </w:rPr>
        <w:t>. 36. ed. São Paulo: Atlas, 2023</w:t>
      </w:r>
      <w:r>
        <w:rPr>
          <w:sz w:val="24"/>
          <w:szCs w:val="24"/>
        </w:rPr>
        <w:t>)</w:t>
      </w:r>
      <w:r w:rsidRPr="00570EE0">
        <w:rPr>
          <w:sz w:val="24"/>
          <w:szCs w:val="24"/>
        </w:rPr>
        <w:t>.</w:t>
      </w:r>
    </w:p>
    <w:p w14:paraId="1928F78E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79D267B" w14:textId="53ADBD0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A análise do CNAE da recorrente também não favorece sua tese. O comprovante do CNPJ evidencia que a empresa não se limita a uma atividade singela, linear e inequivocamente classificável como de baixo risco sob qualquer parâmetro abstrato. Ao lado do comércio varejista de ferragens e ferramentas, há atividades relacionadas a fabricação de tubos e acessórios de material plástico para uso na construção, serviços de usinagem, tornearia e solda, comércio varejista de lubrificantes, comércio varejista de material elétrico, comércio varejista de materiais de construção em geral e comércio varejista de saneantes domissanitários.</w:t>
      </w:r>
    </w:p>
    <w:p w14:paraId="7E26C744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2DA2CA0" w14:textId="325D2EC6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A Lei n.º 13.874/2019, ao instituir a Declaração de Direitos de Liberdade Econômica, assegurou o direito de desenvolver atividade econômica de baixo risco sem necessidade de atos públicos de liberação, nos termos de seu art. 3º, inciso I. Entretanto, a incidência da norma não é automática nem autoriza o particular a autodeclarar, sem controle jurídico-administrativo, a irrelevância do licenciamento. A aferição do baixo risco depende da atividade efetivamente exercida, da regulamentação aplicável e da disciplina local sobre uso e ocupação do solo, posturas municipais, vigilância sanitária, segurança, prevenção de incêndio e compatibilidade urbanística. </w:t>
      </w:r>
    </w:p>
    <w:p w14:paraId="02EA6FFE" w14:textId="7777777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6EEDE33" w14:textId="76D7080F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A razoabilidade da dispensa, no caso da recorrente, mostra-se, no mínimo, juridicamente duvidosa. Isso não significa afirmar, em caráter definitivo e abstrato, que a empresa jamais poderia ser dispensada de alvará; significa, isto sim, reconhecer que as atividades econômicas declaradas no cadastro fiscal não autorizam presunção administrativa favorável ampla e irrestrita. Ao contrário, a pluralidade de </w:t>
      </w:r>
      <w:proofErr w:type="spellStart"/>
      <w:r w:rsidRPr="00570EE0">
        <w:rPr>
          <w:sz w:val="24"/>
          <w:szCs w:val="24"/>
        </w:rPr>
        <w:t>CNAEs</w:t>
      </w:r>
      <w:proofErr w:type="spellEnd"/>
      <w:r w:rsidRPr="00570EE0">
        <w:rPr>
          <w:sz w:val="24"/>
          <w:szCs w:val="24"/>
        </w:rPr>
        <w:t>, alguns deles relacionados a segmentos que podem envolver maior impacto urbano, operacional ou sanitário, exigia da licitante prova ainda mais precisa e contemporânea da efetiva dispensa vigente perante o ente municipal competente. Essa prova não foi produzida.</w:t>
      </w:r>
    </w:p>
    <w:p w14:paraId="6F6E9DC6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54CF2FD4" w14:textId="01A7A374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O documento de 2021, além de remoto, possui conteúdo limitado. Não consubstancia certidão atual de dispensa, tampouco declaração municipal contemporânea, nem demonstração de que o enquadramento normativo permaneceu inalterado ao longo do tempo. A referência a “cadastro atualizado” é especialmente eloquente, porque revela que a própria fruição da dispensa dependia de manutenção de pressupostos dinâmicos. Sem juntada de certidão recente, consulta oficial atualizada ou ato municipal contemporâneo ratificando a dispensa, inexiste base objetiva para que a Administração licitante, situada em outro município e vinculada ao princípio da legalidade estrita, presuma regularidade que competia ao particular comprovar.</w:t>
      </w:r>
    </w:p>
    <w:p w14:paraId="18B3203F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B6AC809" w14:textId="2AE8DACE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Também não procede eventual alegação de que a Administração deveria ter promovido diligência para suprir a deficiência. A diligência prevista no art. 64 da Lei n.º 14.133/2021 constitui instrumento de esclarecimento e saneamento, não mecanismo de substituição do dever probatório do licitante. O poder-dever de diligenciar não autoriza o agente de contratação a reconstruir, por conta própria, a habilitação do particular nem a converter presunções em certeza administrativa. A </w:t>
      </w:r>
      <w:r w:rsidRPr="00570EE0">
        <w:rPr>
          <w:sz w:val="24"/>
          <w:szCs w:val="24"/>
        </w:rPr>
        <w:lastRenderedPageBreak/>
        <w:t>jurisprudência dos tribunais de contas tem distinguido, com acerto, entre diligência para elidir obscuridade pontual e diligência para suprir ausência de comprovação material do requisito. Nesta última hipótese, a providência deixaria de ser saneadora para converter-se em indevida mitigação da isonomia.</w:t>
      </w:r>
    </w:p>
    <w:p w14:paraId="35534526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A88C9F3" w14:textId="56908E2E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Cumpre acrescentar que o Tribunal de Contas do Estado de Minas Gerais, em seus estudos temáticos e pareceres de consulta sobre a Lei n.º 14.133/2021, tem enfatizado a necessidade de compatibilizar eficiência, competitividade e segurança jurídica, sem descurar do dever de adequada instrução da fase preparatória e da correta verificação dos pressupostos habilitatórios. O enfoque do TCEMG, embora favorável ao formalismo moderado, não chancela a relativização de exigências quando ausente prova suficiente do requisito. O estudo temático do TCEMG registra, em linhas gerais, que a habilitação deve ser examinada à luz da finalidade da contratação, mas com estrita observância da documentação apta a demonstrar a aptidão do licitante.</w:t>
      </w:r>
    </w:p>
    <w:p w14:paraId="060A8688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CB85076" w14:textId="303E2E88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A propósito, a doutrina de Rafael Carvalho Rezende Oliveira é precisa ao registrar que “o formalismo moderado não afasta a necessidade de demonstração objetiva do preenchimento dos requisitos legais e editalícios, vedada a admissão de soluções que comprometam a igualdade entre os licitantes” </w:t>
      </w:r>
      <w:r>
        <w:rPr>
          <w:sz w:val="24"/>
          <w:szCs w:val="24"/>
        </w:rPr>
        <w:t>(</w:t>
      </w:r>
      <w:r w:rsidRPr="00570EE0">
        <w:rPr>
          <w:sz w:val="24"/>
          <w:szCs w:val="24"/>
        </w:rPr>
        <w:t xml:space="preserve">OLIVEIRA, Rafael Carvalho Rezende. </w:t>
      </w:r>
      <w:r w:rsidRPr="00570EE0">
        <w:rPr>
          <w:i/>
          <w:iCs/>
          <w:sz w:val="24"/>
          <w:szCs w:val="24"/>
        </w:rPr>
        <w:t>Licitações e contratos administrativos: teoria e prática</w:t>
      </w:r>
      <w:r w:rsidRPr="00570EE0">
        <w:rPr>
          <w:sz w:val="24"/>
          <w:szCs w:val="24"/>
        </w:rPr>
        <w:t>. 12. ed. Rio de Janeiro: Forense, 2023</w:t>
      </w:r>
      <w:r>
        <w:rPr>
          <w:sz w:val="24"/>
          <w:szCs w:val="24"/>
        </w:rPr>
        <w:t>)</w:t>
      </w:r>
      <w:r w:rsidRPr="00570EE0">
        <w:rPr>
          <w:sz w:val="24"/>
          <w:szCs w:val="24"/>
        </w:rPr>
        <w:t>. O ensinamento ajusta-se exatamente ao caso dos autos: admitir como suficiente um documento de 2021, incapaz de atestar a subsistência da dispensa em 2026, importaria tratamento privilegiado à recorrente e fragilização da confiança legítima dos demais participantes que observaram as exigências de habilitação nos exatos termos do edital.</w:t>
      </w:r>
    </w:p>
    <w:p w14:paraId="7FC5D119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5F388E6" w14:textId="62F3A1CB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Em suma, o cenário probatório revela quatro premissas convergentes: a exigência editalícia existia e não foi impugnada tempestivamente; a recorrente assumiu o ônus de demonstrar seu cumprimento; o documento apresentado é antigo e não comprova a subsistência da dispensa na data da sessão; e a natureza das atividades econômicas da empresa não autoriza presunção automática de enquadramento em hipótese de baixo risco apta a afastar, por si só, a necessidade de ato público de liberação. A partir dessas premissas, a conclusão juridicamente adequada é a manutenção do ato recorrido.</w:t>
      </w:r>
    </w:p>
    <w:p w14:paraId="2670E4DD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7DD45C8" w14:textId="7C3B5E54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Concluo que o documento apresentado para comprovar a suposta dispensa de alvará de localização e funcionamento não possui validade jurídica bastante para demonstrar, na data da sessão do Pregão Eletrônico n.º 001/2026, a efetiva subsistência de situação </w:t>
      </w:r>
      <w:proofErr w:type="spellStart"/>
      <w:r w:rsidRPr="00570EE0">
        <w:rPr>
          <w:sz w:val="24"/>
          <w:szCs w:val="24"/>
        </w:rPr>
        <w:t>dispensatória</w:t>
      </w:r>
      <w:proofErr w:type="spellEnd"/>
      <w:r w:rsidRPr="00570EE0">
        <w:rPr>
          <w:sz w:val="24"/>
          <w:szCs w:val="24"/>
        </w:rPr>
        <w:t xml:space="preserve"> perante o município de Contagem/MG, por se tratar de documento datado de 23/08/2021, desacompanhado de prova contemporânea de atualização cadastral e de manutenção das condições que lhe davam suporte.</w:t>
      </w:r>
    </w:p>
    <w:p w14:paraId="4266FD3F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ECAD8B5" w14:textId="040E330E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Concluo, ainda, que a recorrente precluiu o direito de insurgir-se contra a própria exigência editalícia, uma vez que deixou de impugnar, no momento processual oportuno, a cláusula que previa a apresentação do alvará de localização e funcionamento, não podendo, após participar do certame sob as regras do instrumento </w:t>
      </w:r>
      <w:r w:rsidRPr="00570EE0">
        <w:rPr>
          <w:sz w:val="24"/>
          <w:szCs w:val="24"/>
        </w:rPr>
        <w:lastRenderedPageBreak/>
        <w:t>convocatório, pretender afastar-lhes a incidência apenas em razão do resultado desfavorável.</w:t>
      </w:r>
    </w:p>
    <w:p w14:paraId="5A77C2E5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6E8636E" w14:textId="3F7CBC69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Assento, por fim, que a invocação da Lei n.º 13.874/2019 não altera a solução do caso, porque o conjunto de atividades econômicas constantes do CNPJ da empresa não autoriza presunção administrativa automática de baixo risco, sendo indispensável comprovação específica, atual e inequívoca da dispensa vigente do ato público de liberação, prova esta que não foi produzida.</w:t>
      </w:r>
    </w:p>
    <w:p w14:paraId="7CCA510D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5AD7A4B6" w14:textId="789458A7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70EE0">
        <w:rPr>
          <w:b/>
          <w:bCs/>
          <w:sz w:val="24"/>
          <w:szCs w:val="24"/>
        </w:rPr>
        <w:t>III – CONCLUSÃO</w:t>
      </w:r>
    </w:p>
    <w:p w14:paraId="77507760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1DD6CD0F" w14:textId="65009349" w:rsidR="00570EE0" w:rsidRP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 xml:space="preserve">À vista do exposto, conheço do recurso administrativo interposto por </w:t>
      </w:r>
      <w:r w:rsidRPr="00570EE0">
        <w:rPr>
          <w:b/>
          <w:bCs/>
          <w:sz w:val="24"/>
          <w:szCs w:val="24"/>
        </w:rPr>
        <w:t>JULIUS TOOLS MÁQUINAS FERRAMENTAS E SUPRIMENTOS INDUSTRIAIS LTDA.</w:t>
      </w:r>
      <w:r w:rsidRPr="00570EE0">
        <w:rPr>
          <w:sz w:val="24"/>
          <w:szCs w:val="24"/>
        </w:rPr>
        <w:t xml:space="preserve">, porquanto presentes seus pressupostos formais de admissibilidade, mas, no mérito, </w:t>
      </w:r>
      <w:r w:rsidRPr="00570EE0">
        <w:rPr>
          <w:b/>
          <w:bCs/>
          <w:sz w:val="24"/>
          <w:szCs w:val="24"/>
        </w:rPr>
        <w:t>nego-lhe provimento</w:t>
      </w:r>
      <w:r w:rsidRPr="00570EE0">
        <w:rPr>
          <w:sz w:val="24"/>
          <w:szCs w:val="24"/>
        </w:rPr>
        <w:t>.</w:t>
      </w:r>
    </w:p>
    <w:p w14:paraId="6352160A" w14:textId="77777777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C9EA154" w14:textId="5F247405" w:rsidR="00570EE0" w:rsidRDefault="00570EE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70EE0">
        <w:rPr>
          <w:sz w:val="24"/>
          <w:szCs w:val="24"/>
        </w:rPr>
        <w:t>Diante disso, mantenho a decisão recorrida, por seus próprios fundamentos, acrescidos dos constantes desta análise.</w:t>
      </w:r>
    </w:p>
    <w:p w14:paraId="43FF75EA" w14:textId="77777777" w:rsidR="004D787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3A5B5D9C" w14:textId="31CA97AC" w:rsidR="004D787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Tocantins, MG, 26 de março de 2026</w:t>
      </w:r>
    </w:p>
    <w:p w14:paraId="619BD1C0" w14:textId="77777777" w:rsidR="004D787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44295F60" w14:textId="77777777" w:rsidR="004D787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023CC111" w14:textId="5C994379" w:rsidR="004D787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Érica Mendes Barbosa </w:t>
      </w:r>
      <w:proofErr w:type="spellStart"/>
      <w:r>
        <w:rPr>
          <w:sz w:val="24"/>
          <w:szCs w:val="24"/>
        </w:rPr>
        <w:t>Sechi</w:t>
      </w:r>
      <w:proofErr w:type="spellEnd"/>
    </w:p>
    <w:p w14:paraId="7EBE5950" w14:textId="1886279C" w:rsidR="004D7870" w:rsidRPr="00570EE0" w:rsidRDefault="004D7870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Pregoeira</w:t>
      </w:r>
    </w:p>
    <w:p w14:paraId="177C5B21" w14:textId="77777777" w:rsidR="00E37058" w:rsidRPr="00570EE0" w:rsidRDefault="00E37058" w:rsidP="00570EE0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sectPr w:rsidR="00E37058" w:rsidRPr="00570EE0" w:rsidSect="00D228A6">
      <w:headerReference w:type="default" r:id="rId6"/>
      <w:footerReference w:type="default" r:id="rId7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0DECE" w14:textId="77777777" w:rsidR="0083111D" w:rsidRDefault="0083111D" w:rsidP="0083111D">
      <w:pPr>
        <w:spacing w:after="0" w:line="240" w:lineRule="auto"/>
      </w:pPr>
      <w:r>
        <w:separator/>
      </w:r>
    </w:p>
  </w:endnote>
  <w:endnote w:type="continuationSeparator" w:id="0">
    <w:p w14:paraId="3CCBF42B" w14:textId="77777777" w:rsidR="0083111D" w:rsidRDefault="0083111D" w:rsidP="0083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AA548" w14:textId="77777777" w:rsidR="0083111D" w:rsidRDefault="008311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4E0B0" w14:textId="77777777" w:rsidR="0083111D" w:rsidRDefault="0083111D" w:rsidP="0083111D">
      <w:pPr>
        <w:spacing w:after="0" w:line="240" w:lineRule="auto"/>
      </w:pPr>
      <w:r>
        <w:separator/>
      </w:r>
    </w:p>
  </w:footnote>
  <w:footnote w:type="continuationSeparator" w:id="0">
    <w:p w14:paraId="0F589C32" w14:textId="77777777" w:rsidR="0083111D" w:rsidRDefault="0083111D" w:rsidP="0083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1047D" w14:textId="62EEDAA3" w:rsidR="0083111D" w:rsidRDefault="0083111D" w:rsidP="0083111D">
    <w:pPr>
      <w:pStyle w:val="Ttulo"/>
      <w:ind w:left="1276"/>
      <w:rPr>
        <w:rFonts w:ascii="Arial" w:hAnsi="Arial" w:cs="Arial"/>
        <w:b/>
        <w:bCs/>
        <w:sz w:val="16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40E7A0E" wp14:editId="5E89AE41">
          <wp:simplePos x="0" y="0"/>
          <wp:positionH relativeFrom="column">
            <wp:posOffset>3478530</wp:posOffset>
          </wp:positionH>
          <wp:positionV relativeFrom="paragraph">
            <wp:posOffset>-8890</wp:posOffset>
          </wp:positionV>
          <wp:extent cx="1997710" cy="798830"/>
          <wp:effectExtent l="0" t="0" r="2540" b="127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53273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6D22E8" wp14:editId="53DE28E4">
          <wp:simplePos x="0" y="0"/>
          <wp:positionH relativeFrom="column">
            <wp:posOffset>-652780</wp:posOffset>
          </wp:positionH>
          <wp:positionV relativeFrom="paragraph">
            <wp:posOffset>-8890</wp:posOffset>
          </wp:positionV>
          <wp:extent cx="3368040" cy="774065"/>
          <wp:effectExtent l="0" t="0" r="3810" b="698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E3C988" w14:textId="77777777" w:rsidR="0083111D" w:rsidRDefault="00831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58"/>
    <w:rsid w:val="004D5B47"/>
    <w:rsid w:val="004D7870"/>
    <w:rsid w:val="00570EE0"/>
    <w:rsid w:val="0083111D"/>
    <w:rsid w:val="008D21E8"/>
    <w:rsid w:val="00AB10C2"/>
    <w:rsid w:val="00D21ECF"/>
    <w:rsid w:val="00D228A6"/>
    <w:rsid w:val="00E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8F31BC"/>
  <w15:chartTrackingRefBased/>
  <w15:docId w15:val="{5ED21B3D-A828-4208-9B21-F276040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0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0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0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0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0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0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3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3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0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0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0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0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05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31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11D"/>
  </w:style>
  <w:style w:type="paragraph" w:styleId="Rodap">
    <w:name w:val="footer"/>
    <w:basedOn w:val="Normal"/>
    <w:link w:val="RodapChar"/>
    <w:uiPriority w:val="99"/>
    <w:unhideWhenUsed/>
    <w:rsid w:val="00831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2542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Paschoalino</dc:creator>
  <cp:keywords/>
  <dc:description/>
  <cp:lastModifiedBy>Caio Dias Da Silveira</cp:lastModifiedBy>
  <cp:revision>4</cp:revision>
  <dcterms:created xsi:type="dcterms:W3CDTF">2026-03-25T13:13:00Z</dcterms:created>
  <dcterms:modified xsi:type="dcterms:W3CDTF">2026-03-25T19:53:00Z</dcterms:modified>
</cp:coreProperties>
</file>